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B754E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4449DE">
        <w:rPr>
          <w:rFonts w:asciiTheme="minorHAnsi" w:hAnsiTheme="minorHAnsi" w:cstheme="minorHAnsi"/>
          <w:b/>
          <w:sz w:val="22"/>
          <w:szCs w:val="22"/>
        </w:rPr>
        <w:t>GRADNJA TELEKOMUNIKACIJSKEGA OMREŽJA</w:t>
      </w:r>
    </w:p>
    <w:p w14:paraId="603FFE96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RUNE-SI d.o.o. gradi najsodobnejše optično omrežje zelo velikih hitrosti (večje od 1 Gb/s) za vse potencialne uporabnike na redko poseljenih območjih v Sloveniji, na katerih sicer obstoječi operaterji telekomunikacij nimajo tržnega interesa graditi lastna omrežja.</w:t>
      </w:r>
    </w:p>
    <w:p w14:paraId="0D2D86E0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Prednosti, ki jih prinaša optično omrežje, pa niso le v hitrosti prenosa podatkov, ki omogočajo kvalitetnejše televizijske storitve in brskanje po spletu, pač pa gre za storitve, ki dvigajo kvaliteto življenja, kot npr. delo na daljavo, e-uprava, e-zdravstvo, spletno nakupovanje itd..</w:t>
      </w:r>
    </w:p>
    <w:p w14:paraId="269BF5DA" w14:textId="77777777" w:rsidR="0027548D" w:rsidRPr="004449DE" w:rsidRDefault="0027548D" w:rsidP="0027548D">
      <w:pPr>
        <w:rPr>
          <w:rFonts w:asciiTheme="minorHAnsi" w:hAnsiTheme="minorHAnsi" w:cstheme="minorHAnsi"/>
          <w:sz w:val="22"/>
          <w:szCs w:val="22"/>
        </w:rPr>
      </w:pPr>
    </w:p>
    <w:p w14:paraId="483361B2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49DE">
        <w:rPr>
          <w:rFonts w:asciiTheme="minorHAnsi" w:hAnsiTheme="minorHAnsi" w:cstheme="minorHAnsi"/>
          <w:b/>
          <w:sz w:val="22"/>
          <w:szCs w:val="22"/>
        </w:rPr>
        <w:t>ODPRTO OMREŽJE</w:t>
      </w:r>
    </w:p>
    <w:p w14:paraId="7637B7A9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 xml:space="preserve">Storitve bo uporabnikom v omrežju  ponujalo več različnih ponudnikov. Uporabnik bo imel možnost </w:t>
      </w:r>
      <w:r w:rsidRPr="004449DE">
        <w:rPr>
          <w:rFonts w:asciiTheme="minorHAnsi" w:hAnsiTheme="minorHAnsi" w:cstheme="minorHAnsi"/>
          <w:b/>
          <w:sz w:val="22"/>
          <w:szCs w:val="22"/>
        </w:rPr>
        <w:t>proste izbire</w:t>
      </w:r>
      <w:r w:rsidRPr="004449DE">
        <w:rPr>
          <w:rFonts w:asciiTheme="minorHAnsi" w:hAnsiTheme="minorHAnsi" w:cstheme="minorHAnsi"/>
          <w:sz w:val="22"/>
          <w:szCs w:val="22"/>
        </w:rPr>
        <w:t xml:space="preserve"> ponudnika storitev, ki je glede na </w:t>
      </w:r>
      <w:r w:rsidRPr="004449DE">
        <w:rPr>
          <w:rFonts w:asciiTheme="minorHAnsi" w:hAnsiTheme="minorHAnsi" w:cstheme="minorHAnsi"/>
          <w:b/>
          <w:sz w:val="22"/>
          <w:szCs w:val="22"/>
        </w:rPr>
        <w:t>ceno in kakovost storitev zanj najugodnejši</w:t>
      </w:r>
      <w:r w:rsidRPr="004449DE">
        <w:rPr>
          <w:rFonts w:asciiTheme="minorHAnsi" w:hAnsiTheme="minorHAnsi" w:cstheme="minorHAnsi"/>
          <w:sz w:val="22"/>
          <w:szCs w:val="22"/>
        </w:rPr>
        <w:t>, saj upravitelj omrežja vsem operaterjem storitev zagotavlja enakopravni dostop in najem omrežja pod enakimi pogoji. V primeru nezadovoljstva s trenutnim ponudnikom, bo imel uporabnik možnost njegove zamenjave.</w:t>
      </w:r>
    </w:p>
    <w:p w14:paraId="528DD1F8" w14:textId="77777777" w:rsidR="0027548D" w:rsidRPr="004449DE" w:rsidRDefault="0027548D" w:rsidP="0027548D">
      <w:pPr>
        <w:rPr>
          <w:rFonts w:asciiTheme="minorHAnsi" w:hAnsiTheme="minorHAnsi" w:cstheme="minorHAnsi"/>
          <w:sz w:val="22"/>
          <w:szCs w:val="22"/>
        </w:rPr>
      </w:pPr>
    </w:p>
    <w:p w14:paraId="25BCEF70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49DE">
        <w:rPr>
          <w:rFonts w:asciiTheme="minorHAnsi" w:hAnsiTheme="minorHAnsi" w:cstheme="minorHAnsi"/>
          <w:b/>
          <w:sz w:val="22"/>
          <w:szCs w:val="22"/>
        </w:rPr>
        <w:t>KAJ ZAJEMA PLAČILO PRIKLJUČNINE ZA IZGRADNJO PRIKLJUČKA</w:t>
      </w:r>
    </w:p>
    <w:p w14:paraId="5C3A5515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 xml:space="preserve">Financiranje izgradnje primarnega dela omrežja </w:t>
      </w:r>
      <w:proofErr w:type="spellStart"/>
      <w:r w:rsidRPr="004449DE">
        <w:rPr>
          <w:rFonts w:asciiTheme="minorHAnsi" w:hAnsiTheme="minorHAnsi" w:cstheme="minorHAnsi"/>
          <w:sz w:val="22"/>
          <w:szCs w:val="22"/>
        </w:rPr>
        <w:t>RuNe</w:t>
      </w:r>
      <w:proofErr w:type="spellEnd"/>
      <w:r w:rsidRPr="004449DE">
        <w:rPr>
          <w:rFonts w:asciiTheme="minorHAnsi" w:hAnsiTheme="minorHAnsi" w:cstheme="minorHAnsi"/>
          <w:sz w:val="22"/>
          <w:szCs w:val="22"/>
        </w:rPr>
        <w:t xml:space="preserve"> zagotovi nosilec projekta sam. </w:t>
      </w:r>
    </w:p>
    <w:p w14:paraId="44DEE5B7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b/>
          <w:sz w:val="22"/>
          <w:szCs w:val="22"/>
        </w:rPr>
        <w:t>Uporabniki plačajo samo strošek izvedbe sekundarnega dela omrežja v enkratnem znesku 150 €</w:t>
      </w:r>
      <w:r w:rsidRPr="004449DE">
        <w:rPr>
          <w:rFonts w:asciiTheme="minorHAnsi" w:hAnsiTheme="minorHAnsi" w:cstheme="minorHAnsi"/>
          <w:sz w:val="22"/>
          <w:szCs w:val="22"/>
        </w:rPr>
        <w:t xml:space="preserve"> (DDV vključen), če:</w:t>
      </w:r>
    </w:p>
    <w:p w14:paraId="361F6437" w14:textId="77777777" w:rsidR="0027548D" w:rsidRPr="004449DE" w:rsidRDefault="0027548D" w:rsidP="0027548D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 xml:space="preserve">priključek naročijo pred ali med gradnjo omrežja v naselju; </w:t>
      </w:r>
    </w:p>
    <w:p w14:paraId="6D545770" w14:textId="77777777" w:rsidR="0027548D" w:rsidRPr="004449DE" w:rsidRDefault="0027548D" w:rsidP="0027548D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se v roku 90 dni od izvedbe priključka naročijo na storitve pri izbranem ponudniku storitev.</w:t>
      </w:r>
      <w:r w:rsidRPr="00DF513A">
        <w:rPr>
          <w:rFonts w:asciiTheme="minorHAnsi" w:hAnsiTheme="minorHAnsi" w:cstheme="minorHAnsi"/>
          <w:b/>
          <w:szCs w:val="22"/>
        </w:rPr>
        <w:t>*</w:t>
      </w:r>
    </w:p>
    <w:p w14:paraId="57AB4C23" w14:textId="77777777" w:rsidR="0027548D" w:rsidRPr="004449DE" w:rsidRDefault="0027548D" w:rsidP="002754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94BCA5" w14:textId="77777777" w:rsidR="0027548D" w:rsidRPr="004449DE" w:rsidRDefault="0027548D" w:rsidP="0027548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49DE">
        <w:rPr>
          <w:rFonts w:asciiTheme="minorHAnsi" w:hAnsiTheme="minorHAnsi" w:cstheme="minorHAnsi"/>
          <w:b/>
          <w:sz w:val="22"/>
          <w:szCs w:val="22"/>
        </w:rPr>
        <w:t>IZGRADNJA SEKUNDARNEGA DELA OMREŽJA</w:t>
      </w:r>
    </w:p>
    <w:p w14:paraId="2215EF4B" w14:textId="413F9D98" w:rsidR="0027548D" w:rsidRPr="004449DE" w:rsidRDefault="0027548D" w:rsidP="0027548D">
      <w:pPr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Sekundarni del omrežja je del med primarnim delom omrežja ter fasado objekta. Ta del omrežja se lahko izvede v zemeljski ali zračni izvedbi (po obstoječih elektro ali telekomunikacijskih drogovih). V primeru zemeljske izvedbe je potreben izkop po zemljišču lastnika parcele</w:t>
      </w:r>
      <w:r w:rsidR="00F6083F">
        <w:rPr>
          <w:rFonts w:asciiTheme="minorHAnsi" w:hAnsiTheme="minorHAnsi" w:cstheme="minorHAnsi"/>
          <w:sz w:val="22"/>
          <w:szCs w:val="22"/>
        </w:rPr>
        <w:t>.</w:t>
      </w:r>
      <w:r w:rsidRPr="004449DE">
        <w:rPr>
          <w:rFonts w:asciiTheme="minorHAnsi" w:hAnsiTheme="minorHAnsi" w:cstheme="minorHAnsi"/>
          <w:sz w:val="22"/>
          <w:szCs w:val="22"/>
        </w:rPr>
        <w:t xml:space="preserve"> </w:t>
      </w:r>
      <w:r w:rsidR="00F6083F">
        <w:rPr>
          <w:rFonts w:asciiTheme="minorHAnsi" w:hAnsiTheme="minorHAnsi" w:cstheme="minorHAnsi"/>
          <w:color w:val="FF0000"/>
          <w:sz w:val="22"/>
          <w:szCs w:val="22"/>
        </w:rPr>
        <w:t>Izkop l</w:t>
      </w:r>
      <w:r w:rsidRPr="004449DE">
        <w:rPr>
          <w:rFonts w:asciiTheme="minorHAnsi" w:hAnsiTheme="minorHAnsi" w:cstheme="minorHAnsi"/>
          <w:color w:val="FF0000"/>
          <w:sz w:val="22"/>
          <w:szCs w:val="22"/>
        </w:rPr>
        <w:t>astnik/uporabnik zagotoviti sam, Rune-SI d.o.o. pa mu bo vgradil cev in optični kabel.</w:t>
      </w:r>
      <w:r w:rsidRPr="004449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89D28F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49DE">
        <w:rPr>
          <w:rFonts w:asciiTheme="minorHAnsi" w:hAnsiTheme="minorHAnsi" w:cstheme="minorHAnsi"/>
          <w:b/>
          <w:sz w:val="22"/>
          <w:szCs w:val="22"/>
        </w:rPr>
        <w:t>Izvedba sekundarnega dela omrežja vključuje:</w:t>
      </w:r>
    </w:p>
    <w:p w14:paraId="485F8846" w14:textId="77777777" w:rsidR="0027548D" w:rsidRPr="004449DE" w:rsidRDefault="0027548D" w:rsidP="0027548D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Montažo optičnega kabla do in znotraj hiše do mesta optične priključne doze (do 10m dolžine in 2 preboja);</w:t>
      </w:r>
      <w:r w:rsidRPr="00DF513A">
        <w:rPr>
          <w:rFonts w:asciiTheme="minorHAnsi" w:hAnsiTheme="minorHAnsi" w:cstheme="minorHAnsi"/>
          <w:b/>
          <w:szCs w:val="22"/>
        </w:rPr>
        <w:t>**</w:t>
      </w:r>
    </w:p>
    <w:p w14:paraId="13FBB47B" w14:textId="77777777" w:rsidR="0027548D" w:rsidRPr="004449DE" w:rsidRDefault="0027548D" w:rsidP="0027548D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Namestitev in priklop optičnega modema;</w:t>
      </w:r>
    </w:p>
    <w:p w14:paraId="3A479E5D" w14:textId="77777777" w:rsidR="0027548D" w:rsidRPr="004449DE" w:rsidRDefault="0027548D" w:rsidP="0027548D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Preizkus delovanja povezave.</w:t>
      </w:r>
    </w:p>
    <w:p w14:paraId="6E77C2BF" w14:textId="77777777" w:rsidR="0027548D" w:rsidRPr="004449DE" w:rsidRDefault="0027548D" w:rsidP="0027548D">
      <w:pPr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>Po izvedbi priključka stranka postane lastnik vse notranje inštalacije razen modema, ki ostane v lasti Rune-SI d.o.o., za potrebe zamenjave v primeru nedelovanja.</w:t>
      </w:r>
    </w:p>
    <w:p w14:paraId="037713E6" w14:textId="77777777" w:rsidR="0027548D" w:rsidRPr="004449DE" w:rsidRDefault="0027548D" w:rsidP="0027548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43116F" w14:textId="6E8444AD" w:rsidR="0027548D" w:rsidRPr="004449DE" w:rsidRDefault="005F591A" w:rsidP="002754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se bo izvajal v obdobju med leti 2019 in 202</w:t>
      </w:r>
      <w:r w:rsidR="0031483E">
        <w:rPr>
          <w:rFonts w:asciiTheme="minorHAnsi" w:hAnsiTheme="minorHAnsi" w:cstheme="minorHAnsi"/>
          <w:sz w:val="22"/>
          <w:szCs w:val="22"/>
        </w:rPr>
        <w:t xml:space="preserve">1. Najprej bo potekalo projektiranje, ki se bo začelo vsak čas, vendar je ta postopek relativno dolgotrajen. </w:t>
      </w:r>
      <w:r w:rsidR="00B364F7">
        <w:rPr>
          <w:rFonts w:asciiTheme="minorHAnsi" w:hAnsiTheme="minorHAnsi" w:cstheme="minorHAnsi"/>
          <w:sz w:val="22"/>
          <w:szCs w:val="22"/>
        </w:rPr>
        <w:t>Haloško območje bo pokrito iz dveh central</w:t>
      </w:r>
      <w:r w:rsidR="000A217D">
        <w:rPr>
          <w:rFonts w:asciiTheme="minorHAnsi" w:hAnsiTheme="minorHAnsi" w:cstheme="minorHAnsi"/>
          <w:sz w:val="22"/>
          <w:szCs w:val="22"/>
        </w:rPr>
        <w:t xml:space="preserve">, S32 je locirana v Majšperku, S36 pa v Markovcih. </w:t>
      </w:r>
      <w:r w:rsidR="0031483E">
        <w:rPr>
          <w:rFonts w:asciiTheme="minorHAnsi" w:hAnsiTheme="minorHAnsi" w:cstheme="minorHAnsi"/>
          <w:sz w:val="22"/>
          <w:szCs w:val="22"/>
        </w:rPr>
        <w:t>Občina</w:t>
      </w:r>
      <w:r w:rsidR="000A217D">
        <w:rPr>
          <w:rFonts w:asciiTheme="minorHAnsi" w:hAnsiTheme="minorHAnsi" w:cstheme="minorHAnsi"/>
          <w:sz w:val="22"/>
          <w:szCs w:val="22"/>
        </w:rPr>
        <w:t xml:space="preserve"> Zavrč bo v celoti</w:t>
      </w:r>
      <w:r w:rsidR="0031483E">
        <w:rPr>
          <w:rFonts w:asciiTheme="minorHAnsi" w:hAnsiTheme="minorHAnsi" w:cstheme="minorHAnsi"/>
          <w:sz w:val="22"/>
          <w:szCs w:val="22"/>
        </w:rPr>
        <w:t xml:space="preserve"> </w:t>
      </w:r>
      <w:r w:rsidR="000A217D">
        <w:rPr>
          <w:rFonts w:asciiTheme="minorHAnsi" w:hAnsiTheme="minorHAnsi" w:cstheme="minorHAnsi"/>
          <w:sz w:val="22"/>
          <w:szCs w:val="22"/>
        </w:rPr>
        <w:t>pokrita iz</w:t>
      </w:r>
      <w:r w:rsidR="0031483E">
        <w:rPr>
          <w:rFonts w:asciiTheme="minorHAnsi" w:hAnsiTheme="minorHAnsi" w:cstheme="minorHAnsi"/>
          <w:sz w:val="22"/>
          <w:szCs w:val="22"/>
        </w:rPr>
        <w:t xml:space="preserve"> central</w:t>
      </w:r>
      <w:r w:rsidR="000A217D">
        <w:rPr>
          <w:rFonts w:asciiTheme="minorHAnsi" w:hAnsiTheme="minorHAnsi" w:cstheme="minorHAnsi"/>
          <w:sz w:val="22"/>
          <w:szCs w:val="22"/>
        </w:rPr>
        <w:t>e</w:t>
      </w:r>
      <w:r w:rsidR="0031483E">
        <w:rPr>
          <w:rFonts w:asciiTheme="minorHAnsi" w:hAnsiTheme="minorHAnsi" w:cstheme="minorHAnsi"/>
          <w:sz w:val="22"/>
          <w:szCs w:val="22"/>
        </w:rPr>
        <w:t xml:space="preserve"> S36, </w:t>
      </w:r>
      <w:r w:rsidR="000A217D">
        <w:rPr>
          <w:rFonts w:asciiTheme="minorHAnsi" w:hAnsiTheme="minorHAnsi" w:cstheme="minorHAnsi"/>
          <w:sz w:val="22"/>
          <w:szCs w:val="22"/>
        </w:rPr>
        <w:t>ki pokriva</w:t>
      </w:r>
      <w:r w:rsidR="0031483E">
        <w:rPr>
          <w:rFonts w:asciiTheme="minorHAnsi" w:hAnsiTheme="minorHAnsi" w:cstheme="minorHAnsi"/>
          <w:sz w:val="22"/>
          <w:szCs w:val="22"/>
        </w:rPr>
        <w:t xml:space="preserve"> še 13 drugih okoliških občin</w:t>
      </w:r>
      <w:r w:rsidR="000A217D">
        <w:rPr>
          <w:rFonts w:asciiTheme="minorHAnsi" w:hAnsiTheme="minorHAnsi" w:cstheme="minorHAnsi"/>
          <w:sz w:val="22"/>
          <w:szCs w:val="22"/>
        </w:rPr>
        <w:t>, medtem ko centrala S32 pokriva 12 občin.</w:t>
      </w:r>
      <w:r w:rsidR="0031483E">
        <w:rPr>
          <w:rFonts w:asciiTheme="minorHAnsi" w:hAnsiTheme="minorHAnsi" w:cstheme="minorHAnsi"/>
          <w:sz w:val="22"/>
          <w:szCs w:val="22"/>
        </w:rPr>
        <w:t xml:space="preserve"> Ko bo projektna dokumentacija pripravljena, se bo v vseh občinah</w:t>
      </w:r>
      <w:r w:rsidR="000A217D">
        <w:rPr>
          <w:rFonts w:asciiTheme="minorHAnsi" w:hAnsiTheme="minorHAnsi" w:cstheme="minorHAnsi"/>
          <w:sz w:val="22"/>
          <w:szCs w:val="22"/>
        </w:rPr>
        <w:t xml:space="preserve"> znotraj centrale S36</w:t>
      </w:r>
      <w:r w:rsidR="0031483E">
        <w:rPr>
          <w:rFonts w:asciiTheme="minorHAnsi" w:hAnsiTheme="minorHAnsi" w:cstheme="minorHAnsi"/>
          <w:sz w:val="22"/>
          <w:szCs w:val="22"/>
        </w:rPr>
        <w:t xml:space="preserve"> z gradnjo začelo istočasno.</w:t>
      </w:r>
    </w:p>
    <w:p w14:paraId="4A008F9D" w14:textId="77777777" w:rsidR="0027548D" w:rsidRPr="004449DE" w:rsidRDefault="0027548D" w:rsidP="0027548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924E08" w14:textId="77777777" w:rsidR="0027548D" w:rsidRPr="004449DE" w:rsidRDefault="0027548D" w:rsidP="0027548D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49DE">
        <w:rPr>
          <w:rFonts w:asciiTheme="minorHAnsi" w:hAnsiTheme="minorHAnsi" w:cstheme="minorHAnsi"/>
          <w:b/>
          <w:sz w:val="22"/>
          <w:szCs w:val="22"/>
        </w:rPr>
        <w:t>ALI LAHKO DOBIM PRIKLJUČEK RUNE POZNEJE?</w:t>
      </w:r>
    </w:p>
    <w:p w14:paraId="11C85423" w14:textId="77777777" w:rsidR="0027548D" w:rsidRDefault="0027548D" w:rsidP="0027548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sz w:val="22"/>
          <w:szCs w:val="22"/>
        </w:rPr>
        <w:t xml:space="preserve">Uporabnikom, ki priključka v času gradnje omrežja </w:t>
      </w:r>
      <w:proofErr w:type="spellStart"/>
      <w:r w:rsidRPr="004449DE">
        <w:rPr>
          <w:rFonts w:asciiTheme="minorHAnsi" w:hAnsiTheme="minorHAnsi" w:cstheme="minorHAnsi"/>
          <w:sz w:val="22"/>
          <w:szCs w:val="22"/>
        </w:rPr>
        <w:t>RuNe</w:t>
      </w:r>
      <w:proofErr w:type="spellEnd"/>
      <w:r w:rsidRPr="004449DE">
        <w:rPr>
          <w:rFonts w:asciiTheme="minorHAnsi" w:hAnsiTheme="minorHAnsi" w:cstheme="minorHAnsi"/>
          <w:sz w:val="22"/>
          <w:szCs w:val="22"/>
        </w:rPr>
        <w:t xml:space="preserve"> ne bodo naročili, bo optični priključek </w:t>
      </w:r>
      <w:proofErr w:type="spellStart"/>
      <w:r w:rsidRPr="004449DE">
        <w:rPr>
          <w:rFonts w:asciiTheme="minorHAnsi" w:hAnsiTheme="minorHAnsi" w:cstheme="minorHAnsi"/>
          <w:sz w:val="22"/>
          <w:szCs w:val="22"/>
        </w:rPr>
        <w:t>RuNe</w:t>
      </w:r>
      <w:proofErr w:type="spellEnd"/>
      <w:r w:rsidRPr="004449DE">
        <w:rPr>
          <w:rFonts w:asciiTheme="minorHAnsi" w:hAnsiTheme="minorHAnsi" w:cstheme="minorHAnsi"/>
          <w:sz w:val="22"/>
          <w:szCs w:val="22"/>
        </w:rPr>
        <w:t xml:space="preserve"> samo omogočen (ne bo zgrajen do hiše). </w:t>
      </w:r>
      <w:r>
        <w:rPr>
          <w:rFonts w:asciiTheme="minorHAnsi" w:hAnsiTheme="minorHAnsi" w:cstheme="minorHAnsi"/>
          <w:sz w:val="22"/>
          <w:szCs w:val="22"/>
        </w:rPr>
        <w:t>Priključek je možno naročiti</w:t>
      </w:r>
      <w:r w:rsidRPr="004449DE">
        <w:rPr>
          <w:rFonts w:asciiTheme="minorHAnsi" w:hAnsiTheme="minorHAnsi" w:cstheme="minorHAnsi"/>
          <w:sz w:val="22"/>
          <w:szCs w:val="22"/>
        </w:rPr>
        <w:t xml:space="preserve"> kadarkoli, vendar bo strošek izgradnje priključka v primeru poznejšega naročila </w:t>
      </w:r>
      <w:r w:rsidRPr="004449DE">
        <w:rPr>
          <w:rFonts w:asciiTheme="minorHAnsi" w:hAnsiTheme="minorHAnsi" w:cstheme="minorHAnsi"/>
          <w:b/>
          <w:sz w:val="22"/>
          <w:szCs w:val="22"/>
        </w:rPr>
        <w:t>bistveno višji</w:t>
      </w:r>
      <w:r w:rsidRPr="004449DE">
        <w:rPr>
          <w:rFonts w:asciiTheme="minorHAnsi" w:hAnsiTheme="minorHAnsi" w:cstheme="minorHAnsi"/>
          <w:sz w:val="22"/>
          <w:szCs w:val="22"/>
        </w:rPr>
        <w:t xml:space="preserve"> kot med gradnjo omrežja RUNE.</w:t>
      </w:r>
    </w:p>
    <w:p w14:paraId="4D508447" w14:textId="77777777" w:rsidR="0027548D" w:rsidRPr="00FC588E" w:rsidRDefault="0027548D" w:rsidP="0027548D">
      <w:pPr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116"/>
        <w:gridCol w:w="5660"/>
      </w:tblGrid>
      <w:tr w:rsidR="0027548D" w:rsidRPr="004449DE" w14:paraId="5783B8AD" w14:textId="77777777" w:rsidTr="00201443">
        <w:trPr>
          <w:trHeight w:val="20"/>
        </w:trPr>
        <w:tc>
          <w:tcPr>
            <w:tcW w:w="701" w:type="pct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24EF6F29" w14:textId="77777777" w:rsidR="0027548D" w:rsidRPr="004449DE" w:rsidRDefault="0027548D" w:rsidP="00201443">
            <w:pPr>
              <w:contextualSpacing/>
              <w:jc w:val="both"/>
              <w:rPr>
                <w:rStyle w:val="UnresolvedMention"/>
                <w:rFonts w:cstheme="minorHAnsi"/>
                <w:noProof/>
                <w:sz w:val="22"/>
                <w:szCs w:val="22"/>
              </w:rPr>
            </w:pPr>
            <w:r w:rsidRPr="004449DE">
              <w:rPr>
                <w:rStyle w:val="UnresolvedMention"/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277B43FE" wp14:editId="3EEC35CC">
                  <wp:extent cx="685800" cy="6858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9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08849CB" w14:textId="77777777" w:rsidR="0027548D" w:rsidRPr="004449DE" w:rsidRDefault="0027548D" w:rsidP="00201443">
            <w:pPr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449DE">
              <w:rPr>
                <w:rFonts w:cstheme="minorHAnsi"/>
                <w:sz w:val="22"/>
                <w:szCs w:val="22"/>
              </w:rPr>
              <w:t>za dodatne informacije, vprašanja, dokumentacijo, itd.:</w:t>
            </w:r>
          </w:p>
        </w:tc>
      </w:tr>
      <w:tr w:rsidR="0027548D" w:rsidRPr="004449DE" w14:paraId="170BBBCA" w14:textId="77777777" w:rsidTr="00201443">
        <w:trPr>
          <w:trHeight w:val="20"/>
        </w:trPr>
        <w:tc>
          <w:tcPr>
            <w:tcW w:w="7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0AD12" w14:textId="77777777" w:rsidR="0027548D" w:rsidRPr="004449DE" w:rsidRDefault="0027548D" w:rsidP="00201443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0C7EC7" w14:textId="77777777" w:rsidR="0027548D" w:rsidRPr="004449DE" w:rsidRDefault="0027548D" w:rsidP="00201443">
            <w:pPr>
              <w:jc w:val="both"/>
              <w:rPr>
                <w:rStyle w:val="UnresolvedMention"/>
                <w:rFonts w:cstheme="minorHAnsi"/>
                <w:b/>
                <w:color w:val="0000FF" w:themeColor="hyperlink"/>
                <w:sz w:val="22"/>
                <w:szCs w:val="22"/>
                <w:u w:val="single"/>
              </w:rPr>
            </w:pPr>
            <w:r w:rsidRPr="004449DE">
              <w:rPr>
                <w:rFonts w:cstheme="minorHAnsi"/>
                <w:b/>
                <w:sz w:val="22"/>
                <w:szCs w:val="22"/>
              </w:rPr>
              <w:t xml:space="preserve">Spletna stran </w:t>
            </w:r>
            <w:proofErr w:type="spellStart"/>
            <w:r w:rsidRPr="004449DE">
              <w:rPr>
                <w:rFonts w:cstheme="minorHAnsi"/>
                <w:b/>
                <w:sz w:val="22"/>
                <w:szCs w:val="22"/>
              </w:rPr>
              <w:t>RuNe</w:t>
            </w:r>
            <w:proofErr w:type="spellEnd"/>
            <w:r w:rsidRPr="004449DE">
              <w:rPr>
                <w:rFonts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126" w:type="pct"/>
          </w:tcPr>
          <w:p w14:paraId="6F688037" w14:textId="77777777" w:rsidR="0027548D" w:rsidRPr="004449DE" w:rsidRDefault="00244537" w:rsidP="00201443">
            <w:pPr>
              <w:jc w:val="both"/>
              <w:rPr>
                <w:rStyle w:val="UnresolvedMention"/>
                <w:rFonts w:cstheme="minorHAnsi"/>
                <w:b/>
                <w:color w:val="0000FF" w:themeColor="hyperlink"/>
                <w:sz w:val="22"/>
                <w:szCs w:val="22"/>
                <w:u w:val="single"/>
              </w:rPr>
            </w:pPr>
            <w:hyperlink r:id="rId9" w:history="1">
              <w:r w:rsidR="0027548D" w:rsidRPr="004449DE">
                <w:rPr>
                  <w:rStyle w:val="Hiperpovezava"/>
                  <w:rFonts w:cstheme="minorHAnsi"/>
                  <w:b/>
                  <w:color w:val="FF0000"/>
                  <w:sz w:val="22"/>
                  <w:szCs w:val="22"/>
                </w:rPr>
                <w:t>www.ruralnetwork.eu</w:t>
              </w:r>
            </w:hyperlink>
          </w:p>
        </w:tc>
      </w:tr>
      <w:tr w:rsidR="0027548D" w:rsidRPr="004449DE" w14:paraId="7FB004E0" w14:textId="77777777" w:rsidTr="00201443">
        <w:trPr>
          <w:trHeight w:val="20"/>
        </w:trPr>
        <w:tc>
          <w:tcPr>
            <w:tcW w:w="701" w:type="pct"/>
            <w:vMerge/>
            <w:tcBorders>
              <w:top w:val="single" w:sz="4" w:space="0" w:color="auto"/>
              <w:right w:val="single" w:sz="12" w:space="0" w:color="auto"/>
            </w:tcBorders>
          </w:tcPr>
          <w:p w14:paraId="382FE6F6" w14:textId="77777777" w:rsidR="0027548D" w:rsidRPr="004449DE" w:rsidRDefault="0027548D" w:rsidP="00201443">
            <w:pPr>
              <w:contextualSpacing/>
              <w:jc w:val="both"/>
              <w:rPr>
                <w:rStyle w:val="UnresolvedMention"/>
                <w:rFonts w:cstheme="minorHAnsi"/>
                <w:noProof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0BC3626" w14:textId="77777777" w:rsidR="0027548D" w:rsidRPr="004449DE" w:rsidRDefault="0027548D" w:rsidP="00201443">
            <w:pPr>
              <w:contextualSpacing/>
              <w:jc w:val="both"/>
              <w:rPr>
                <w:rStyle w:val="UnresolvedMention"/>
                <w:rFonts w:cstheme="minorHAnsi"/>
                <w:b/>
                <w:noProof/>
                <w:sz w:val="22"/>
                <w:szCs w:val="22"/>
              </w:rPr>
            </w:pPr>
            <w:r w:rsidRPr="004449DE">
              <w:rPr>
                <w:rFonts w:cstheme="minorHAnsi"/>
                <w:b/>
                <w:sz w:val="22"/>
                <w:szCs w:val="22"/>
              </w:rPr>
              <w:t>E</w:t>
            </w:r>
            <w:r>
              <w:rPr>
                <w:rFonts w:cstheme="minorHAnsi"/>
                <w:b/>
                <w:sz w:val="22"/>
                <w:szCs w:val="22"/>
              </w:rPr>
              <w:t>-pošta</w:t>
            </w:r>
            <w:r w:rsidRPr="004449DE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126" w:type="pct"/>
          </w:tcPr>
          <w:p w14:paraId="6F760DEB" w14:textId="77777777" w:rsidR="0027548D" w:rsidRPr="004449DE" w:rsidRDefault="00244537" w:rsidP="00201443">
            <w:pPr>
              <w:jc w:val="both"/>
              <w:rPr>
                <w:rFonts w:cstheme="minorHAnsi"/>
                <w:sz w:val="22"/>
                <w:szCs w:val="22"/>
              </w:rPr>
            </w:pPr>
            <w:hyperlink r:id="rId10" w:history="1">
              <w:r w:rsidR="0027548D" w:rsidRPr="004449DE">
                <w:rPr>
                  <w:rStyle w:val="Hiperpovezava"/>
                  <w:rFonts w:cstheme="minorHAnsi"/>
                  <w:color w:val="auto"/>
                  <w:sz w:val="22"/>
                  <w:szCs w:val="22"/>
                  <w:u w:val="none"/>
                </w:rPr>
                <w:t>dominik.salamon@ruralnetwork.eu</w:t>
              </w:r>
            </w:hyperlink>
          </w:p>
          <w:p w14:paraId="1F00E077" w14:textId="77777777" w:rsidR="0027548D" w:rsidRPr="004449DE" w:rsidRDefault="00244537" w:rsidP="00201443">
            <w:pPr>
              <w:contextualSpacing/>
              <w:jc w:val="both"/>
              <w:rPr>
                <w:rStyle w:val="UnresolvedMention"/>
                <w:rFonts w:cstheme="minorHAnsi"/>
                <w:noProof/>
                <w:color w:val="auto"/>
                <w:sz w:val="22"/>
                <w:szCs w:val="22"/>
              </w:rPr>
            </w:pPr>
            <w:hyperlink r:id="rId11" w:history="1">
              <w:r w:rsidR="0027548D" w:rsidRPr="004449DE">
                <w:rPr>
                  <w:rStyle w:val="Hiperpovezava"/>
                  <w:rFonts w:cstheme="minorHAnsi"/>
                  <w:color w:val="auto"/>
                  <w:sz w:val="22"/>
                  <w:szCs w:val="22"/>
                  <w:u w:val="none"/>
                </w:rPr>
                <w:t>marko.salamon@ruralnetwork.eu</w:t>
              </w:r>
            </w:hyperlink>
          </w:p>
        </w:tc>
      </w:tr>
    </w:tbl>
    <w:p w14:paraId="1EB808CD" w14:textId="77777777" w:rsidR="0027548D" w:rsidRPr="0027548D" w:rsidRDefault="0027548D" w:rsidP="0027548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5366B07" w14:textId="77777777" w:rsidR="0027548D" w:rsidRPr="004449DE" w:rsidRDefault="0027548D" w:rsidP="0027548D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4449DE">
        <w:rPr>
          <w:rFonts w:asciiTheme="minorHAnsi" w:hAnsiTheme="minorHAnsi" w:cstheme="minorHAnsi"/>
          <w:i/>
          <w:sz w:val="18"/>
          <w:szCs w:val="18"/>
        </w:rPr>
        <w:t>*v primeru, da se uporabnik na storitve ne naroči v roku 90 dni, mu bo zaračunana izvedba sekundarnega dela omrežja po ceniku izvajalca (dejanski stroški)</w:t>
      </w:r>
    </w:p>
    <w:p w14:paraId="50707B2D" w14:textId="654AA93A" w:rsidR="00D81486" w:rsidRPr="00D81486" w:rsidRDefault="0027548D" w:rsidP="0031483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9DE">
        <w:rPr>
          <w:rFonts w:asciiTheme="minorHAnsi" w:hAnsiTheme="minorHAnsi" w:cstheme="minorHAnsi"/>
          <w:i/>
          <w:sz w:val="18"/>
          <w:szCs w:val="18"/>
        </w:rPr>
        <w:t>**Mogoča je namestitev naprave na poljubno mesto v stanovanju, v tem primeru se vsak dodatni meter inštalacije zaračuna po ceniku izvajalca.</w:t>
      </w:r>
    </w:p>
    <w:sectPr w:rsidR="00D81486" w:rsidRPr="00D81486" w:rsidSect="00E95982">
      <w:headerReference w:type="default" r:id="rId12"/>
      <w:pgSz w:w="11906" w:h="16838"/>
      <w:pgMar w:top="42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34313" w14:textId="77777777" w:rsidR="00244537" w:rsidRDefault="00244537" w:rsidP="00F42DB1">
      <w:r>
        <w:separator/>
      </w:r>
    </w:p>
  </w:endnote>
  <w:endnote w:type="continuationSeparator" w:id="0">
    <w:p w14:paraId="0C8AB203" w14:textId="77777777" w:rsidR="00244537" w:rsidRDefault="00244537" w:rsidP="00F4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04F79" w14:textId="77777777" w:rsidR="00244537" w:rsidRDefault="00244537" w:rsidP="00F42DB1">
      <w:r>
        <w:separator/>
      </w:r>
    </w:p>
  </w:footnote>
  <w:footnote w:type="continuationSeparator" w:id="0">
    <w:p w14:paraId="7DB46D10" w14:textId="77777777" w:rsidR="00244537" w:rsidRDefault="00244537" w:rsidP="00F4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74597" w14:textId="77777777" w:rsidR="004165A8" w:rsidRDefault="004165A8" w:rsidP="00E6620B">
    <w:pPr>
      <w:pStyle w:val="Glava"/>
      <w:tabs>
        <w:tab w:val="clear" w:pos="4536"/>
        <w:tab w:val="clear" w:pos="9072"/>
        <w:tab w:val="left" w:pos="7650"/>
      </w:tabs>
      <w:ind w:left="-426" w:right="708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37E6"/>
    <w:multiLevelType w:val="hybridMultilevel"/>
    <w:tmpl w:val="D2CA3FEC"/>
    <w:lvl w:ilvl="0" w:tplc="0318E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A4E"/>
    <w:multiLevelType w:val="hybridMultilevel"/>
    <w:tmpl w:val="E2B60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8D1"/>
    <w:multiLevelType w:val="hybridMultilevel"/>
    <w:tmpl w:val="422AAB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01315"/>
    <w:multiLevelType w:val="hybridMultilevel"/>
    <w:tmpl w:val="CD56ED92"/>
    <w:lvl w:ilvl="0" w:tplc="102A81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321EE"/>
    <w:multiLevelType w:val="hybridMultilevel"/>
    <w:tmpl w:val="BABE97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21B8E"/>
    <w:multiLevelType w:val="hybridMultilevel"/>
    <w:tmpl w:val="49B62D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FDA"/>
    <w:multiLevelType w:val="hybridMultilevel"/>
    <w:tmpl w:val="5366F28A"/>
    <w:lvl w:ilvl="0" w:tplc="5BEA7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42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C9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62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0D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88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0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E9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A3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B27AAE"/>
    <w:multiLevelType w:val="hybridMultilevel"/>
    <w:tmpl w:val="6414B5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4126C"/>
    <w:multiLevelType w:val="hybridMultilevel"/>
    <w:tmpl w:val="D8B064E6"/>
    <w:lvl w:ilvl="0" w:tplc="5BEA72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B23"/>
    <w:multiLevelType w:val="hybridMultilevel"/>
    <w:tmpl w:val="5BB49456"/>
    <w:lvl w:ilvl="0" w:tplc="E4622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8178C"/>
    <w:multiLevelType w:val="hybridMultilevel"/>
    <w:tmpl w:val="397820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C5B9D"/>
    <w:multiLevelType w:val="hybridMultilevel"/>
    <w:tmpl w:val="49B62D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3280"/>
    <w:multiLevelType w:val="hybridMultilevel"/>
    <w:tmpl w:val="248C6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85DAD"/>
    <w:multiLevelType w:val="hybridMultilevel"/>
    <w:tmpl w:val="F89ADE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577B03"/>
    <w:multiLevelType w:val="hybridMultilevel"/>
    <w:tmpl w:val="FE00EE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2"/>
  </w:num>
  <w:num w:numId="5">
    <w:abstractNumId w:val="1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13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4C"/>
    <w:rsid w:val="00000CDA"/>
    <w:rsid w:val="00002F9D"/>
    <w:rsid w:val="000049D6"/>
    <w:rsid w:val="00012373"/>
    <w:rsid w:val="0002173B"/>
    <w:rsid w:val="00023FB6"/>
    <w:rsid w:val="0002474D"/>
    <w:rsid w:val="00036CB6"/>
    <w:rsid w:val="000850FC"/>
    <w:rsid w:val="00085ECC"/>
    <w:rsid w:val="000872D3"/>
    <w:rsid w:val="0009087E"/>
    <w:rsid w:val="00096F2E"/>
    <w:rsid w:val="000A217D"/>
    <w:rsid w:val="000A68A8"/>
    <w:rsid w:val="000B0D2D"/>
    <w:rsid w:val="000B6ABB"/>
    <w:rsid w:val="000D1B8A"/>
    <w:rsid w:val="000E3AFF"/>
    <w:rsid w:val="000F3624"/>
    <w:rsid w:val="0010103A"/>
    <w:rsid w:val="001153CA"/>
    <w:rsid w:val="00115DF3"/>
    <w:rsid w:val="001345D3"/>
    <w:rsid w:val="0014692C"/>
    <w:rsid w:val="0015483A"/>
    <w:rsid w:val="0018044D"/>
    <w:rsid w:val="00192E0C"/>
    <w:rsid w:val="001A24C9"/>
    <w:rsid w:val="001A74AB"/>
    <w:rsid w:val="001C15D9"/>
    <w:rsid w:val="001C755D"/>
    <w:rsid w:val="001D1AD9"/>
    <w:rsid w:val="001D2809"/>
    <w:rsid w:val="001E24FA"/>
    <w:rsid w:val="001E4B8B"/>
    <w:rsid w:val="001E77FD"/>
    <w:rsid w:val="001F3574"/>
    <w:rsid w:val="00215ED3"/>
    <w:rsid w:val="0021787D"/>
    <w:rsid w:val="00244537"/>
    <w:rsid w:val="00256A5B"/>
    <w:rsid w:val="0027548D"/>
    <w:rsid w:val="00286865"/>
    <w:rsid w:val="002935C3"/>
    <w:rsid w:val="002E2CE5"/>
    <w:rsid w:val="00307378"/>
    <w:rsid w:val="0031483E"/>
    <w:rsid w:val="00330BD0"/>
    <w:rsid w:val="00332045"/>
    <w:rsid w:val="003360C9"/>
    <w:rsid w:val="00367724"/>
    <w:rsid w:val="00370F10"/>
    <w:rsid w:val="00372031"/>
    <w:rsid w:val="0038194E"/>
    <w:rsid w:val="003C49AA"/>
    <w:rsid w:val="003F6331"/>
    <w:rsid w:val="00403E3D"/>
    <w:rsid w:val="00410159"/>
    <w:rsid w:val="004165A8"/>
    <w:rsid w:val="00446757"/>
    <w:rsid w:val="004777C4"/>
    <w:rsid w:val="004B3445"/>
    <w:rsid w:val="004B52CE"/>
    <w:rsid w:val="004C32BE"/>
    <w:rsid w:val="004D7666"/>
    <w:rsid w:val="00502FDD"/>
    <w:rsid w:val="00515953"/>
    <w:rsid w:val="00520996"/>
    <w:rsid w:val="005305F7"/>
    <w:rsid w:val="00534304"/>
    <w:rsid w:val="0053787A"/>
    <w:rsid w:val="00540EF4"/>
    <w:rsid w:val="0054373A"/>
    <w:rsid w:val="0054708D"/>
    <w:rsid w:val="00573703"/>
    <w:rsid w:val="005856B6"/>
    <w:rsid w:val="00593862"/>
    <w:rsid w:val="005962DB"/>
    <w:rsid w:val="005B794C"/>
    <w:rsid w:val="005C0F9D"/>
    <w:rsid w:val="005D6898"/>
    <w:rsid w:val="005D7E23"/>
    <w:rsid w:val="005F2BD9"/>
    <w:rsid w:val="005F591A"/>
    <w:rsid w:val="0060423E"/>
    <w:rsid w:val="00632214"/>
    <w:rsid w:val="00636279"/>
    <w:rsid w:val="00636DA1"/>
    <w:rsid w:val="00655969"/>
    <w:rsid w:val="00675A06"/>
    <w:rsid w:val="00681524"/>
    <w:rsid w:val="00682AEB"/>
    <w:rsid w:val="0068759A"/>
    <w:rsid w:val="006A3200"/>
    <w:rsid w:val="006A47FC"/>
    <w:rsid w:val="006B3335"/>
    <w:rsid w:val="006C367E"/>
    <w:rsid w:val="006D3A1C"/>
    <w:rsid w:val="006D4EF5"/>
    <w:rsid w:val="006E2D95"/>
    <w:rsid w:val="006E585C"/>
    <w:rsid w:val="006F4763"/>
    <w:rsid w:val="007051F0"/>
    <w:rsid w:val="00711493"/>
    <w:rsid w:val="00713ACF"/>
    <w:rsid w:val="00713B3C"/>
    <w:rsid w:val="0071786C"/>
    <w:rsid w:val="007257EE"/>
    <w:rsid w:val="00730AE2"/>
    <w:rsid w:val="00732949"/>
    <w:rsid w:val="0076777B"/>
    <w:rsid w:val="007707BC"/>
    <w:rsid w:val="0077213F"/>
    <w:rsid w:val="00777B64"/>
    <w:rsid w:val="00791900"/>
    <w:rsid w:val="007971C3"/>
    <w:rsid w:val="00797FB5"/>
    <w:rsid w:val="007B421F"/>
    <w:rsid w:val="007C17C5"/>
    <w:rsid w:val="007E071E"/>
    <w:rsid w:val="00800144"/>
    <w:rsid w:val="008115D8"/>
    <w:rsid w:val="00812787"/>
    <w:rsid w:val="0081405D"/>
    <w:rsid w:val="00833104"/>
    <w:rsid w:val="00833359"/>
    <w:rsid w:val="00853125"/>
    <w:rsid w:val="00854514"/>
    <w:rsid w:val="00857043"/>
    <w:rsid w:val="008645BF"/>
    <w:rsid w:val="0086576F"/>
    <w:rsid w:val="00874153"/>
    <w:rsid w:val="00891E0A"/>
    <w:rsid w:val="00895144"/>
    <w:rsid w:val="008979EB"/>
    <w:rsid w:val="008A2550"/>
    <w:rsid w:val="008A4B90"/>
    <w:rsid w:val="008B4F46"/>
    <w:rsid w:val="008D01FD"/>
    <w:rsid w:val="008D6225"/>
    <w:rsid w:val="008E03AE"/>
    <w:rsid w:val="008F77D9"/>
    <w:rsid w:val="00914635"/>
    <w:rsid w:val="00945871"/>
    <w:rsid w:val="00961596"/>
    <w:rsid w:val="009650AE"/>
    <w:rsid w:val="009945A7"/>
    <w:rsid w:val="009D139F"/>
    <w:rsid w:val="009E3A5C"/>
    <w:rsid w:val="009E494A"/>
    <w:rsid w:val="009E7BC4"/>
    <w:rsid w:val="009F20D0"/>
    <w:rsid w:val="009F6DA3"/>
    <w:rsid w:val="00A024FC"/>
    <w:rsid w:val="00A0717C"/>
    <w:rsid w:val="00A1655A"/>
    <w:rsid w:val="00A3355E"/>
    <w:rsid w:val="00A34E77"/>
    <w:rsid w:val="00A428C2"/>
    <w:rsid w:val="00A51B74"/>
    <w:rsid w:val="00A67F47"/>
    <w:rsid w:val="00A83770"/>
    <w:rsid w:val="00A91E34"/>
    <w:rsid w:val="00A96F11"/>
    <w:rsid w:val="00AA3D26"/>
    <w:rsid w:val="00AB4E3C"/>
    <w:rsid w:val="00AB5307"/>
    <w:rsid w:val="00AD262D"/>
    <w:rsid w:val="00AD704D"/>
    <w:rsid w:val="00B00EEC"/>
    <w:rsid w:val="00B02546"/>
    <w:rsid w:val="00B32552"/>
    <w:rsid w:val="00B325AB"/>
    <w:rsid w:val="00B364F7"/>
    <w:rsid w:val="00B366E0"/>
    <w:rsid w:val="00B451DF"/>
    <w:rsid w:val="00B51ECD"/>
    <w:rsid w:val="00B70325"/>
    <w:rsid w:val="00B7214C"/>
    <w:rsid w:val="00BB6A13"/>
    <w:rsid w:val="00BD38DD"/>
    <w:rsid w:val="00BE2A02"/>
    <w:rsid w:val="00BE79F2"/>
    <w:rsid w:val="00C00318"/>
    <w:rsid w:val="00C22B38"/>
    <w:rsid w:val="00C40D2A"/>
    <w:rsid w:val="00C506C8"/>
    <w:rsid w:val="00C55FCF"/>
    <w:rsid w:val="00C67898"/>
    <w:rsid w:val="00C77CC9"/>
    <w:rsid w:val="00C854EA"/>
    <w:rsid w:val="00CC3F67"/>
    <w:rsid w:val="00CD1F47"/>
    <w:rsid w:val="00CD3406"/>
    <w:rsid w:val="00CE1C04"/>
    <w:rsid w:val="00D10B1B"/>
    <w:rsid w:val="00D13061"/>
    <w:rsid w:val="00D14573"/>
    <w:rsid w:val="00D218C4"/>
    <w:rsid w:val="00D27036"/>
    <w:rsid w:val="00D27A4D"/>
    <w:rsid w:val="00D36FEA"/>
    <w:rsid w:val="00D37EC5"/>
    <w:rsid w:val="00D40009"/>
    <w:rsid w:val="00D46C53"/>
    <w:rsid w:val="00D803D6"/>
    <w:rsid w:val="00D81486"/>
    <w:rsid w:val="00D8175F"/>
    <w:rsid w:val="00D83795"/>
    <w:rsid w:val="00D92AB7"/>
    <w:rsid w:val="00D962A7"/>
    <w:rsid w:val="00DA7828"/>
    <w:rsid w:val="00DB063E"/>
    <w:rsid w:val="00DC6BCE"/>
    <w:rsid w:val="00DC72F3"/>
    <w:rsid w:val="00DF0310"/>
    <w:rsid w:val="00DF0DD5"/>
    <w:rsid w:val="00DF513A"/>
    <w:rsid w:val="00DF5AAD"/>
    <w:rsid w:val="00E01A0F"/>
    <w:rsid w:val="00E039C8"/>
    <w:rsid w:val="00E20891"/>
    <w:rsid w:val="00E241E6"/>
    <w:rsid w:val="00E31284"/>
    <w:rsid w:val="00E314DF"/>
    <w:rsid w:val="00E323EC"/>
    <w:rsid w:val="00E33C46"/>
    <w:rsid w:val="00E353C7"/>
    <w:rsid w:val="00E62222"/>
    <w:rsid w:val="00E6620B"/>
    <w:rsid w:val="00E66C3F"/>
    <w:rsid w:val="00E67AE4"/>
    <w:rsid w:val="00E72E03"/>
    <w:rsid w:val="00E80857"/>
    <w:rsid w:val="00E929EF"/>
    <w:rsid w:val="00E95982"/>
    <w:rsid w:val="00E97145"/>
    <w:rsid w:val="00EA7FA8"/>
    <w:rsid w:val="00EB147D"/>
    <w:rsid w:val="00EB3F3B"/>
    <w:rsid w:val="00EC0F90"/>
    <w:rsid w:val="00ED4B67"/>
    <w:rsid w:val="00ED6353"/>
    <w:rsid w:val="00F31607"/>
    <w:rsid w:val="00F31AF1"/>
    <w:rsid w:val="00F42DB1"/>
    <w:rsid w:val="00F4477D"/>
    <w:rsid w:val="00F47078"/>
    <w:rsid w:val="00F605A2"/>
    <w:rsid w:val="00F6083F"/>
    <w:rsid w:val="00F7447E"/>
    <w:rsid w:val="00FB0B52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E3FA6"/>
  <w15:docId w15:val="{90353BA0-A701-4FBE-BD55-D4503003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E1C0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F42DB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42DB1"/>
    <w:rPr>
      <w:sz w:val="24"/>
      <w:szCs w:val="24"/>
    </w:rPr>
  </w:style>
  <w:style w:type="paragraph" w:styleId="Noga">
    <w:name w:val="footer"/>
    <w:basedOn w:val="Navaden"/>
    <w:link w:val="NogaZnak"/>
    <w:rsid w:val="00F42DB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F42DB1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4B344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8175F"/>
    <w:pPr>
      <w:ind w:left="720"/>
      <w:contextualSpacing/>
    </w:pPr>
  </w:style>
  <w:style w:type="table" w:styleId="Tabelamrea">
    <w:name w:val="Table Grid"/>
    <w:basedOn w:val="Navadnatabela"/>
    <w:uiPriority w:val="39"/>
    <w:rsid w:val="00D814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8148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D635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semiHidden/>
    <w:unhideWhenUsed/>
    <w:rsid w:val="00085EC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085EC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085ECC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085E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08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.salamon@ruralnetwor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inik.salamon@ruralnetwor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ralnetwor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AFF7-F3F7-4F05-8086-A227B099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354-0003/2010-5</vt:lpstr>
    </vt:vector>
  </TitlesOfParts>
  <Company>Občina Kuzma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354-0003/2010-5</dc:title>
  <dc:creator>JOŽEFŠšKALIČ</dc:creator>
  <cp:lastModifiedBy>Danica Bratuša</cp:lastModifiedBy>
  <cp:revision>2</cp:revision>
  <cp:lastPrinted>2018-07-03T12:45:00Z</cp:lastPrinted>
  <dcterms:created xsi:type="dcterms:W3CDTF">2019-05-27T09:02:00Z</dcterms:created>
  <dcterms:modified xsi:type="dcterms:W3CDTF">2019-05-27T09:02:00Z</dcterms:modified>
</cp:coreProperties>
</file>